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6A9D" w14:textId="77777777" w:rsidR="00EB63D2" w:rsidRDefault="00EB63D2" w:rsidP="004D3B67">
      <w:pPr>
        <w:jc w:val="both"/>
        <w:rPr>
          <w:b/>
          <w:bCs/>
          <w:u w:val="single"/>
        </w:rPr>
      </w:pPr>
    </w:p>
    <w:p w14:paraId="5A075809" w14:textId="5D39B9F9" w:rsidR="0050725B" w:rsidRDefault="00392FF6" w:rsidP="004D3B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Důvody</w:t>
      </w:r>
      <w:r w:rsidRPr="00BA1425">
        <w:rPr>
          <w:b/>
          <w:bCs/>
          <w:u w:val="single"/>
        </w:rPr>
        <w:t xml:space="preserve"> </w:t>
      </w:r>
      <w:r w:rsidR="00BA1425" w:rsidRPr="00BA1425">
        <w:rPr>
          <w:b/>
          <w:bCs/>
          <w:u w:val="single"/>
        </w:rPr>
        <w:t xml:space="preserve">založení dceřiné společnosti ENERGOPROJEKT PRAHA </w:t>
      </w:r>
    </w:p>
    <w:p w14:paraId="75A854E5" w14:textId="7A71767D" w:rsidR="00BA1425" w:rsidRDefault="00BA1425" w:rsidP="004D3B67">
      <w:pPr>
        <w:jc w:val="both"/>
      </w:pPr>
      <w:r>
        <w:t xml:space="preserve">Energoprojekt Praha </w:t>
      </w:r>
      <w:r w:rsidR="00341A0D">
        <w:t xml:space="preserve">(dále jen </w:t>
      </w:r>
      <w:r w:rsidR="00BF24AC">
        <w:t>„</w:t>
      </w:r>
      <w:r w:rsidR="00341A0D" w:rsidRPr="00BF24AC">
        <w:rPr>
          <w:b/>
          <w:bCs/>
        </w:rPr>
        <w:t>EGP</w:t>
      </w:r>
      <w:r w:rsidR="00BF24AC">
        <w:t>“</w:t>
      </w:r>
      <w:r w:rsidR="00341A0D">
        <w:t xml:space="preserve">) </w:t>
      </w:r>
      <w:r>
        <w:t>je v současné době v organizačním uspořádání ÚJV Řež, a. s.</w:t>
      </w:r>
      <w:r w:rsidR="00AA7F2D">
        <w:t xml:space="preserve"> (dále jen </w:t>
      </w:r>
      <w:r w:rsidR="00492ABC">
        <w:t>„</w:t>
      </w:r>
      <w:r w:rsidR="00AA7F2D" w:rsidRPr="00492ABC">
        <w:rPr>
          <w:b/>
          <w:bCs/>
        </w:rPr>
        <w:t>ÚJV</w:t>
      </w:r>
      <w:r w:rsidR="00492ABC">
        <w:t>“</w:t>
      </w:r>
      <w:r w:rsidR="00AA7F2D">
        <w:t>)</w:t>
      </w:r>
      <w:r>
        <w:t>, jednou z produkčních divizí se zaměřením na projektové a inženýrské činnosti.</w:t>
      </w:r>
    </w:p>
    <w:p w14:paraId="45CF2E16" w14:textId="7CB9482C" w:rsidR="00BA1425" w:rsidRPr="00BA1425" w:rsidRDefault="00BA1425" w:rsidP="004D3B67">
      <w:pPr>
        <w:jc w:val="both"/>
      </w:pPr>
      <w:r w:rsidRPr="00BA1425">
        <w:t xml:space="preserve">V oblasti projektových činností </w:t>
      </w:r>
      <w:r>
        <w:t xml:space="preserve">se </w:t>
      </w:r>
      <w:r w:rsidRPr="00BA1425">
        <w:t>především</w:t>
      </w:r>
      <w:r>
        <w:t xml:space="preserve"> zabývá</w:t>
      </w:r>
      <w:r w:rsidRPr="00BA1425">
        <w:t xml:space="preserve"> zpracování</w:t>
      </w:r>
      <w:r>
        <w:t>m</w:t>
      </w:r>
      <w:r w:rsidRPr="00BA1425">
        <w:t xml:space="preserve"> studií, podnikatelských záměrů apod. sloužících jako podklad pro rozhodování potenciálních investorů, zpracování</w:t>
      </w:r>
      <w:r>
        <w:t>m</w:t>
      </w:r>
      <w:r w:rsidRPr="00BA1425">
        <w:t xml:space="preserve"> všech stupňů projektové dokumentace</w:t>
      </w:r>
      <w:r>
        <w:t xml:space="preserve"> vč.</w:t>
      </w:r>
      <w:r w:rsidRPr="00BA1425">
        <w:t xml:space="preserve"> dokumentace nebo posudků o vlivu na životní prostředí, zpracování</w:t>
      </w:r>
      <w:r>
        <w:t>m</w:t>
      </w:r>
      <w:r w:rsidRPr="00BA1425">
        <w:t xml:space="preserve"> všech stupňů bezpečnostní dokumentace, seznamů vybraných zařízení</w:t>
      </w:r>
      <w:r>
        <w:t xml:space="preserve"> nebo</w:t>
      </w:r>
      <w:r w:rsidRPr="00BA1425">
        <w:t xml:space="preserve"> speciálně navrhovaných vybraných zařízení v souladu s příslušnými obecně závaznými právními předpisy, a dále zpracování</w:t>
      </w:r>
      <w:r>
        <w:t>m</w:t>
      </w:r>
      <w:r w:rsidRPr="00BA1425">
        <w:t xml:space="preserve"> detailních výpočtů, analýz a databázových modelů 2D a 3D.</w:t>
      </w:r>
    </w:p>
    <w:p w14:paraId="34142514" w14:textId="77777777" w:rsidR="00BA1425" w:rsidRDefault="00BA1425" w:rsidP="004D3B67">
      <w:pPr>
        <w:jc w:val="both"/>
      </w:pPr>
      <w:r w:rsidRPr="00BA1425">
        <w:t xml:space="preserve">V oblasti inženýrských činností </w:t>
      </w:r>
      <w:r>
        <w:t>se zaměřuje zejména na</w:t>
      </w:r>
      <w:r w:rsidRPr="00BA1425">
        <w:t xml:space="preserve"> řízení výstavby</w:t>
      </w:r>
      <w:r>
        <w:t xml:space="preserve"> energetických zařízení</w:t>
      </w:r>
      <w:r w:rsidRPr="00BA1425">
        <w:t>, organizac</w:t>
      </w:r>
      <w:r>
        <w:t>i</w:t>
      </w:r>
      <w:r w:rsidRPr="00BA1425">
        <w:t xml:space="preserve"> výběrových řízení včetně zpracování zadávací dokumentace a poradensk</w:t>
      </w:r>
      <w:r>
        <w:t>ou</w:t>
      </w:r>
      <w:r w:rsidRPr="00BA1425">
        <w:t xml:space="preserve"> a konzultační činnost</w:t>
      </w:r>
      <w:r>
        <w:t xml:space="preserve"> v oblasti energetiky</w:t>
      </w:r>
      <w:r w:rsidRPr="00BA1425">
        <w:t>.   </w:t>
      </w:r>
    </w:p>
    <w:p w14:paraId="52766CEA" w14:textId="73B93340" w:rsidR="00AD5D28" w:rsidRDefault="00BA1425" w:rsidP="00AD5D28">
      <w:pPr>
        <w:jc w:val="both"/>
      </w:pPr>
      <w:r>
        <w:t>Do budoucna bude její hlavní činnost zaměřena zejména na plnění úkolů vyplývajících z</w:t>
      </w:r>
      <w:r w:rsidR="00392FF6">
        <w:t xml:space="preserve"> připravované výstavby nových jaderných zdrojů, </w:t>
      </w:r>
      <w:r w:rsidR="000F4171">
        <w:t>podle</w:t>
      </w:r>
      <w:r w:rsidR="00AB4FFC">
        <w:t xml:space="preserve"> již </w:t>
      </w:r>
      <w:r>
        <w:t xml:space="preserve">podepsané </w:t>
      </w:r>
      <w:r w:rsidRPr="00BA1425">
        <w:t>S</w:t>
      </w:r>
      <w:r>
        <w:t>ml</w:t>
      </w:r>
      <w:r w:rsidR="00AA7F2D">
        <w:t>o</w:t>
      </w:r>
      <w:r>
        <w:t>uvy</w:t>
      </w:r>
      <w:r w:rsidRPr="00BA1425">
        <w:t xml:space="preserve"> </w:t>
      </w:r>
      <w:r>
        <w:t>o poskytování inženýrsko-technické podpory</w:t>
      </w:r>
      <w:r w:rsidR="008A08EB">
        <w:t xml:space="preserve"> </w:t>
      </w:r>
      <w:r>
        <w:t>pro nový jaderný zdroj v lokalitě Dukovany</w:t>
      </w:r>
      <w:r w:rsidR="00AA7F2D">
        <w:t xml:space="preserve"> v celkovém objemu 4,7 mld. Kč.</w:t>
      </w:r>
      <w:r w:rsidR="00811A5A">
        <w:t xml:space="preserve"> </w:t>
      </w:r>
      <w:r w:rsidR="002B6CF7">
        <w:t xml:space="preserve">Zároveň </w:t>
      </w:r>
      <w:r w:rsidR="00811A5A">
        <w:t xml:space="preserve">přitom </w:t>
      </w:r>
      <w:r w:rsidR="002B6CF7">
        <w:t>předpokládáme</w:t>
      </w:r>
      <w:r w:rsidR="001E6B35">
        <w:t>, že</w:t>
      </w:r>
      <w:r w:rsidR="002B6CF7">
        <w:t xml:space="preserve"> v roce 2025 </w:t>
      </w:r>
      <w:r w:rsidR="005A2731">
        <w:t xml:space="preserve">bude </w:t>
      </w:r>
      <w:r w:rsidR="002B6CF7">
        <w:t>podeps</w:t>
      </w:r>
      <w:r w:rsidR="005A2731">
        <w:t>ána</w:t>
      </w:r>
      <w:r w:rsidR="002B6CF7">
        <w:t xml:space="preserve"> obdobn</w:t>
      </w:r>
      <w:r w:rsidR="005A2731">
        <w:t>á</w:t>
      </w:r>
      <w:r w:rsidR="002B6CF7">
        <w:t xml:space="preserve"> smlouv</w:t>
      </w:r>
      <w:r w:rsidR="005A2731">
        <w:t>a</w:t>
      </w:r>
      <w:r w:rsidR="002B6CF7">
        <w:t xml:space="preserve"> v přibližně </w:t>
      </w:r>
      <w:r w:rsidR="00515593">
        <w:t xml:space="preserve">stejném </w:t>
      </w:r>
      <w:r w:rsidR="00DA7471">
        <w:t xml:space="preserve">věcném </w:t>
      </w:r>
      <w:r w:rsidR="002B6CF7">
        <w:t xml:space="preserve">rozsahu </w:t>
      </w:r>
      <w:r w:rsidR="00841DE1">
        <w:t xml:space="preserve">i </w:t>
      </w:r>
      <w:r w:rsidR="00D73BE8">
        <w:t>pro</w:t>
      </w:r>
      <w:r w:rsidR="00392FF6">
        <w:t xml:space="preserve"> malé modulární reaktory v</w:t>
      </w:r>
      <w:r w:rsidR="00841DE1">
        <w:t xml:space="preserve"> lokalit</w:t>
      </w:r>
      <w:r w:rsidR="00392FF6">
        <w:t>ě</w:t>
      </w:r>
      <w:r w:rsidR="00841DE1">
        <w:t xml:space="preserve"> Temelín</w:t>
      </w:r>
      <w:r w:rsidR="00392FF6">
        <w:t xml:space="preserve"> s potenciálním rozvojem dalších lokalit</w:t>
      </w:r>
      <w:r w:rsidR="00841DE1">
        <w:t>.</w:t>
      </w:r>
      <w:r w:rsidR="00AD5D28">
        <w:t xml:space="preserve"> Obě smlouvy jsou zásadní </w:t>
      </w:r>
      <w:r w:rsidR="000310CC">
        <w:t>pro zachování a rozvoj inženýrských kompetencí</w:t>
      </w:r>
      <w:r w:rsidR="00BF24AC">
        <w:t>,</w:t>
      </w:r>
      <w:r w:rsidR="00515593">
        <w:t xml:space="preserve"> a založení dceřiné společnosti (a vyčlenění EGP do samostatné entity) </w:t>
      </w:r>
      <w:r w:rsidR="00515593" w:rsidRPr="00A20F9B">
        <w:t>vnímáme jako první krok k vytvoření silné inženýrské organizace, která bude v současném období renesance výstavby jaderných zařízení v Evropě velmi dobře připravena na tyto nové příležitosti</w:t>
      </w:r>
      <w:r w:rsidR="00515593">
        <w:t>.</w:t>
      </w:r>
    </w:p>
    <w:p w14:paraId="228934F5" w14:textId="1D0D752B" w:rsidR="00AA7F2D" w:rsidRDefault="00AA7F2D" w:rsidP="004D3B67">
      <w:pPr>
        <w:jc w:val="both"/>
      </w:pPr>
      <w:r>
        <w:t xml:space="preserve">Podle </w:t>
      </w:r>
      <w:r w:rsidR="00297AB7">
        <w:t xml:space="preserve">již </w:t>
      </w:r>
      <w:r w:rsidR="00515593">
        <w:t xml:space="preserve">výše uvedené </w:t>
      </w:r>
      <w:r w:rsidR="00297AB7">
        <w:t xml:space="preserve">podepsané </w:t>
      </w:r>
      <w:r>
        <w:t xml:space="preserve">smlouvy </w:t>
      </w:r>
      <w:r w:rsidR="00841DE1">
        <w:t xml:space="preserve">se společností </w:t>
      </w:r>
      <w:r w:rsidR="00297AB7">
        <w:rPr>
          <w:rFonts w:ascii="CIDFont+F3" w:hAnsi="CIDFont+F3" w:cs="CIDFont+F3"/>
          <w:kern w:val="0"/>
        </w:rPr>
        <w:t xml:space="preserve">Elektrárna Dukovany II, a. s., </w:t>
      </w:r>
      <w:r>
        <w:t xml:space="preserve">je nutné mít zajištěné financování formou bankovních záruk až do roku 2043, přičemž značná část ze smluvní ceny bude muset být </w:t>
      </w:r>
      <w:r w:rsidR="004C1ED6">
        <w:t xml:space="preserve">až do této doby průběžně </w:t>
      </w:r>
      <w:r>
        <w:t>zajištěna nejen výše uvedenými zárukami, ale i úvěry na prováděné projektové práce.</w:t>
      </w:r>
    </w:p>
    <w:p w14:paraId="6EAB6A76" w14:textId="562F33D1" w:rsidR="00AA7F2D" w:rsidRDefault="00AA7F2D" w:rsidP="004D3B67">
      <w:pPr>
        <w:jc w:val="both"/>
      </w:pPr>
      <w:r>
        <w:t xml:space="preserve">Takový rozsah </w:t>
      </w:r>
      <w:r w:rsidR="004E7391">
        <w:t xml:space="preserve">financování </w:t>
      </w:r>
      <w:r>
        <w:t xml:space="preserve">překračuje možnosti ÚJV, </w:t>
      </w:r>
      <w:r w:rsidR="000F4171">
        <w:t xml:space="preserve">která </w:t>
      </w:r>
      <w:r>
        <w:t>má v současnosti s Komerční bankou uzavřenou Rámcovou smlouvu o poskytování finančních služeb v rozsahu 200 mil. Kč</w:t>
      </w:r>
      <w:r w:rsidR="004750AD">
        <w:t>,</w:t>
      </w:r>
      <w:r w:rsidR="00341A0D">
        <w:t xml:space="preserve"> a </w:t>
      </w:r>
      <w:proofErr w:type="gramStart"/>
      <w:r w:rsidR="00D73BE8">
        <w:t>blíží</w:t>
      </w:r>
      <w:proofErr w:type="gramEnd"/>
      <w:r w:rsidR="00D73BE8">
        <w:t xml:space="preserve"> se</w:t>
      </w:r>
      <w:r w:rsidR="00341A0D">
        <w:t xml:space="preserve"> tak </w:t>
      </w:r>
      <w:r w:rsidR="00554B92">
        <w:t>nyní</w:t>
      </w:r>
      <w:r w:rsidR="00341A0D">
        <w:t xml:space="preserve"> </w:t>
      </w:r>
      <w:r w:rsidR="000F4171">
        <w:t xml:space="preserve">limitu </w:t>
      </w:r>
      <w:r w:rsidR="00341A0D">
        <w:t xml:space="preserve">svých </w:t>
      </w:r>
      <w:r w:rsidR="00B33648">
        <w:t xml:space="preserve">dlouhodobých </w:t>
      </w:r>
      <w:r w:rsidR="00341A0D">
        <w:t>úvěrových možností</w:t>
      </w:r>
      <w:r w:rsidR="00022586">
        <w:t xml:space="preserve">. </w:t>
      </w:r>
      <w:r w:rsidR="00D05FBE">
        <w:t>I z toho důvodu považujeme za vhodné řešit toto financování v rámci oddělené a samostatné účetní jednotky a ÚJV tak bezprostředně vyvázat z možných rizik, vyplývajících z finančních závazků, které na sebe bude muset EGP nevyhnutelně vzít v souvislosti s průběžným financováním prací vyplývajících z výše uvedené smlouvy/smluv</w:t>
      </w:r>
      <w:r w:rsidR="006A1237">
        <w:t xml:space="preserve">. </w:t>
      </w:r>
      <w:r w:rsidR="005516E0">
        <w:t xml:space="preserve">ÚJV tak bude moci </w:t>
      </w:r>
      <w:r w:rsidR="005C3680">
        <w:t xml:space="preserve">stávající úvěrové </w:t>
      </w:r>
      <w:r w:rsidR="00B45D1F">
        <w:t>linky použít pro rozvoj dalších aktivit</w:t>
      </w:r>
      <w:r w:rsidR="009A6B35">
        <w:t>.</w:t>
      </w:r>
    </w:p>
    <w:p w14:paraId="79FA2D6B" w14:textId="16AE2F69" w:rsidR="001C53A1" w:rsidRDefault="001C53A1" w:rsidP="004D3B67">
      <w:pPr>
        <w:jc w:val="both"/>
      </w:pPr>
      <w:r>
        <w:t xml:space="preserve">Mezi další podstatné důvody vyčlenění EGP do samostatné společnosti </w:t>
      </w:r>
      <w:proofErr w:type="gramStart"/>
      <w:r>
        <w:t>patří</w:t>
      </w:r>
      <w:proofErr w:type="gramEnd"/>
      <w:r>
        <w:t xml:space="preserve"> zejména následující:</w:t>
      </w:r>
    </w:p>
    <w:p w14:paraId="39C11A53" w14:textId="76FC1384" w:rsidR="008131B1" w:rsidRDefault="008131B1" w:rsidP="00861ADD">
      <w:pPr>
        <w:pStyle w:val="Odstavecseseznamem"/>
        <w:numPr>
          <w:ilvl w:val="0"/>
          <w:numId w:val="13"/>
        </w:numPr>
      </w:pPr>
      <w:r>
        <w:t xml:space="preserve">Kultura inženýrsko-projekční organizace se </w:t>
      </w:r>
      <w:proofErr w:type="gramStart"/>
      <w:r>
        <w:t>liší</w:t>
      </w:r>
      <w:proofErr w:type="gramEnd"/>
      <w:r>
        <w:t xml:space="preserve"> od kultury výzkumně-vývojové organizace, tyto dvě kultury si za dobu koexistence udržely svoji svébytnost. </w:t>
      </w:r>
    </w:p>
    <w:p w14:paraId="2BC208DF" w14:textId="77777777" w:rsidR="00105ED7" w:rsidRDefault="00105ED7" w:rsidP="00105ED7">
      <w:pPr>
        <w:numPr>
          <w:ilvl w:val="0"/>
          <w:numId w:val="13"/>
        </w:numPr>
      </w:pPr>
      <w:r>
        <w:t>Malý rozsah průniku aktivit s ÚJV, většina projektů nepotřebuje využívat spolupráci a synergie s jinými divizemi ÚJV.</w:t>
      </w:r>
    </w:p>
    <w:p w14:paraId="3C0C26BD" w14:textId="77777777" w:rsidR="00353562" w:rsidRDefault="00353562" w:rsidP="00353562"/>
    <w:p w14:paraId="0CB657DE" w14:textId="77777777" w:rsidR="00353562" w:rsidRDefault="00353562" w:rsidP="00353562"/>
    <w:p w14:paraId="4E56572E" w14:textId="77777777" w:rsidR="00353562" w:rsidRDefault="00353562" w:rsidP="00353562"/>
    <w:p w14:paraId="798CDB32" w14:textId="24149254" w:rsidR="00105ED7" w:rsidRDefault="00105ED7" w:rsidP="00105ED7">
      <w:r>
        <w:lastRenderedPageBreak/>
        <w:t>Vyčlenění do samostatné dceřiné společnosti by přineslo následující výhody:</w:t>
      </w:r>
    </w:p>
    <w:p w14:paraId="3CE62511" w14:textId="7E41B4C6" w:rsidR="001C53A1" w:rsidRDefault="001C53A1" w:rsidP="008131B1">
      <w:pPr>
        <w:numPr>
          <w:ilvl w:val="0"/>
          <w:numId w:val="13"/>
        </w:numPr>
      </w:pPr>
      <w:r>
        <w:t>Vytvoření silné inženýrsko-projektové organizace s jasným cílem a misí</w:t>
      </w:r>
      <w:r w:rsidR="00A20F9B">
        <w:t>, kdy</w:t>
      </w:r>
      <w:r w:rsidRPr="008131B1">
        <w:rPr>
          <w:color w:val="4472C4" w:themeColor="accent1"/>
        </w:rPr>
        <w:t xml:space="preserve"> </w:t>
      </w:r>
      <w:r>
        <w:t xml:space="preserve">ÚJV je orientováno více do </w:t>
      </w:r>
      <w:r w:rsidR="00392FF6">
        <w:t>vývoje a podpory provozu stávajících jaderných bloků</w:t>
      </w:r>
      <w:r>
        <w:t>.</w:t>
      </w:r>
    </w:p>
    <w:p w14:paraId="355534B5" w14:textId="062CE96E" w:rsidR="00105ED7" w:rsidRDefault="00105ED7" w:rsidP="00105ED7">
      <w:pPr>
        <w:numPr>
          <w:ilvl w:val="0"/>
          <w:numId w:val="13"/>
        </w:numPr>
      </w:pPr>
      <w:r>
        <w:t>Koncentrace projektových kapacit do samostatné entity. Jednodušší řízení obdobných subjektů v rámci stejného byznysu.</w:t>
      </w:r>
    </w:p>
    <w:p w14:paraId="0CA29394" w14:textId="77777777" w:rsidR="001C53A1" w:rsidRDefault="001C53A1" w:rsidP="001C53A1">
      <w:pPr>
        <w:numPr>
          <w:ilvl w:val="0"/>
          <w:numId w:val="13"/>
        </w:numPr>
      </w:pPr>
      <w:r>
        <w:t xml:space="preserve">Snazší převod firemní kultury EGP na nové přírůstky v organizaci ve společnosti s jasně definovanými kompetencemi. </w:t>
      </w:r>
    </w:p>
    <w:p w14:paraId="54044E62" w14:textId="5ECEDFA1" w:rsidR="001C53A1" w:rsidRDefault="00A20F9B" w:rsidP="001C53A1">
      <w:pPr>
        <w:numPr>
          <w:ilvl w:val="0"/>
          <w:numId w:val="13"/>
        </w:numPr>
      </w:pPr>
      <w:r>
        <w:t>Účast na projektech výstavby nových jaderných zdrojů</w:t>
      </w:r>
      <w:r w:rsidR="001C53A1">
        <w:t xml:space="preserve"> neohrozí ostatní části ÚJV důležité pro podporu nové výstavby a LTO stávajících bloků.</w:t>
      </w:r>
    </w:p>
    <w:p w14:paraId="6556F696" w14:textId="77777777" w:rsidR="001C53A1" w:rsidRDefault="001C53A1" w:rsidP="001C53A1">
      <w:pPr>
        <w:numPr>
          <w:ilvl w:val="0"/>
          <w:numId w:val="13"/>
        </w:numPr>
      </w:pPr>
      <w:r>
        <w:t>Jednodušší dlouhodobé plánování činností s čistě inženýrsko-projektovou společností</w:t>
      </w:r>
    </w:p>
    <w:p w14:paraId="543EC570" w14:textId="77777777" w:rsidR="001C53A1" w:rsidRDefault="001C53A1" w:rsidP="001C53A1">
      <w:pPr>
        <w:numPr>
          <w:ilvl w:val="0"/>
          <w:numId w:val="13"/>
        </w:numPr>
      </w:pPr>
      <w:r>
        <w:t>Využití zavedené značky ENERGOPROJEKT PRAHA pro nový subjekt.</w:t>
      </w:r>
    </w:p>
    <w:p w14:paraId="2500DB34" w14:textId="4CFABE85" w:rsidR="00FA4CC0" w:rsidRPr="00550497" w:rsidRDefault="00550497" w:rsidP="001C53A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val="cs-CZ"/>
          <w14:ligatures w14:val="standardContextual"/>
        </w:rPr>
      </w:pPr>
      <w:r w:rsidRPr="00550497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val="cs-CZ"/>
          <w14:ligatures w14:val="standardContextual"/>
        </w:rPr>
        <w:t xml:space="preserve">EGP – </w:t>
      </w:r>
      <w:r w:rsidR="00AC0F52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val="cs-CZ"/>
          <w14:ligatures w14:val="standardContextual"/>
        </w:rPr>
        <w:t>vývoj klíčových ukazatelů</w:t>
      </w:r>
    </w:p>
    <w:p w14:paraId="4AEBF70B" w14:textId="77777777" w:rsidR="007D117A" w:rsidRDefault="007D117A" w:rsidP="001C53A1">
      <w:pPr>
        <w:pStyle w:val="paragraph"/>
        <w:spacing w:before="0" w:beforeAutospacing="0" w:after="0" w:afterAutospacing="0"/>
        <w:ind w:left="360"/>
        <w:textAlignment w:val="baseline"/>
      </w:pPr>
    </w:p>
    <w:p w14:paraId="1098C0F4" w14:textId="480D634B" w:rsidR="00FA4CC0" w:rsidRDefault="00FA4CC0" w:rsidP="00550497">
      <w:pPr>
        <w:pStyle w:val="paragraph"/>
        <w:spacing w:before="0" w:beforeAutospacing="0" w:after="0" w:afterAutospacing="0"/>
        <w:ind w:left="360"/>
        <w:jc w:val="center"/>
        <w:textAlignment w:val="baseline"/>
      </w:pPr>
    </w:p>
    <w:p w14:paraId="59B8C611" w14:textId="77777777" w:rsidR="00DD5402" w:rsidRDefault="00DD5402" w:rsidP="001C53A1">
      <w:pPr>
        <w:pStyle w:val="paragraph"/>
        <w:spacing w:before="0" w:beforeAutospacing="0" w:after="0" w:afterAutospacing="0"/>
        <w:ind w:left="360"/>
        <w:textAlignment w:val="baseline"/>
      </w:pPr>
    </w:p>
    <w:p w14:paraId="4FAEC7C1" w14:textId="2E87A285" w:rsidR="00DD5402" w:rsidRDefault="006F5F75" w:rsidP="00AC0F52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6F5F75">
        <w:rPr>
          <w:noProof/>
        </w:rPr>
        <w:drawing>
          <wp:inline distT="0" distB="0" distL="0" distR="0" wp14:anchorId="5FE2C85B" wp14:editId="1D53AFB0">
            <wp:extent cx="4257675" cy="1162050"/>
            <wp:effectExtent l="0" t="0" r="9525" b="0"/>
            <wp:docPr id="204714780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6059" w14:textId="44A7029F" w:rsidR="005A0375" w:rsidRDefault="005A0375" w:rsidP="002D67EA">
      <w:pPr>
        <w:pStyle w:val="paragraph"/>
        <w:spacing w:before="0" w:beforeAutospacing="0" w:after="0" w:afterAutospacing="0"/>
        <w:ind w:left="360"/>
        <w:jc w:val="center"/>
        <w:textAlignment w:val="baseline"/>
      </w:pPr>
    </w:p>
    <w:p w14:paraId="7F1C7868" w14:textId="546E8290" w:rsidR="00AC0F52" w:rsidRDefault="00AC0F52" w:rsidP="00AC0F52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AC0F52">
        <w:rPr>
          <w:noProof/>
        </w:rPr>
        <w:drawing>
          <wp:inline distT="0" distB="0" distL="0" distR="0" wp14:anchorId="5CCD3F98" wp14:editId="7A8ED42C">
            <wp:extent cx="4429125" cy="1162050"/>
            <wp:effectExtent l="0" t="0" r="9525" b="0"/>
            <wp:docPr id="187131877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EA39" w14:textId="77777777" w:rsidR="00D96B50" w:rsidRDefault="00D96B50" w:rsidP="00D96B50">
      <w:pPr>
        <w:pStyle w:val="paragraph"/>
        <w:spacing w:before="0" w:beforeAutospacing="0" w:after="0" w:afterAutospacing="0"/>
        <w:textAlignment w:val="baseline"/>
      </w:pP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00"/>
        <w:gridCol w:w="800"/>
        <w:gridCol w:w="800"/>
        <w:gridCol w:w="800"/>
        <w:gridCol w:w="980"/>
      </w:tblGrid>
      <w:tr w:rsidR="00D96B50" w:rsidRPr="00D96B50" w14:paraId="71E9E313" w14:textId="77777777" w:rsidTr="00D96B5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E18" w14:textId="77777777" w:rsidR="00D96B50" w:rsidRPr="00520136" w:rsidRDefault="00D96B50" w:rsidP="00520136">
            <w:pPr>
              <w:jc w:val="both"/>
            </w:pPr>
            <w:r w:rsidRPr="00520136">
              <w:t>pozn: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B0D6" w14:textId="77777777" w:rsidR="00D96B50" w:rsidRPr="00520136" w:rsidRDefault="00D96B50" w:rsidP="00520136">
            <w:pPr>
              <w:jc w:val="bot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DB8" w14:textId="77777777" w:rsidR="00D96B50" w:rsidRPr="00520136" w:rsidRDefault="00D96B50" w:rsidP="00520136">
            <w:pPr>
              <w:jc w:val="bot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ECB9" w14:textId="77777777" w:rsidR="00D96B50" w:rsidRPr="00520136" w:rsidRDefault="00D96B50" w:rsidP="00520136">
            <w:pPr>
              <w:jc w:val="bot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018" w14:textId="77777777" w:rsidR="00D96B50" w:rsidRPr="00520136" w:rsidRDefault="00D96B50" w:rsidP="00520136">
            <w:pPr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800" w14:textId="77777777" w:rsidR="00D96B50" w:rsidRPr="00520136" w:rsidRDefault="00D96B50" w:rsidP="00520136">
            <w:pPr>
              <w:jc w:val="both"/>
            </w:pPr>
          </w:p>
        </w:tc>
      </w:tr>
      <w:tr w:rsidR="00D96B50" w:rsidRPr="00D96B50" w14:paraId="4448AD4C" w14:textId="77777777" w:rsidTr="00D96B50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041" w14:textId="77777777" w:rsidR="00D96B50" w:rsidRPr="00520136" w:rsidRDefault="00D96B50" w:rsidP="00520136">
            <w:pPr>
              <w:jc w:val="both"/>
            </w:pPr>
            <w:r w:rsidRPr="00520136">
              <w:t>výkony = tržby, nedokončená výroba, dotace, aktivace majetku</w:t>
            </w:r>
          </w:p>
        </w:tc>
      </w:tr>
    </w:tbl>
    <w:p w14:paraId="7820FCFE" w14:textId="0F8F423B" w:rsidR="00EA08D3" w:rsidRPr="00F30C68" w:rsidRDefault="00AF3AD5" w:rsidP="00DA49EF">
      <w:pPr>
        <w:jc w:val="both"/>
      </w:pPr>
      <w:r>
        <w:t xml:space="preserve"> </w:t>
      </w:r>
    </w:p>
    <w:sectPr w:rsidR="00EA08D3" w:rsidRPr="00F30C68" w:rsidSect="00651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5A20" w14:textId="77777777" w:rsidR="004A0DF2" w:rsidRDefault="004A0DF2" w:rsidP="000E7ADC">
      <w:pPr>
        <w:spacing w:after="0" w:line="240" w:lineRule="auto"/>
      </w:pPr>
      <w:r>
        <w:separator/>
      </w:r>
    </w:p>
  </w:endnote>
  <w:endnote w:type="continuationSeparator" w:id="0">
    <w:p w14:paraId="39F1B2E7" w14:textId="77777777" w:rsidR="004A0DF2" w:rsidRDefault="004A0DF2" w:rsidP="000E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B1EB" w14:textId="77777777" w:rsidR="004B36C3" w:rsidRDefault="004B3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5F5E" w14:textId="5CB5AA59" w:rsidR="006510D3" w:rsidRDefault="006510D3" w:rsidP="006510D3">
    <w:pPr>
      <w:pStyle w:val="Zpat"/>
      <w:jc w:val="center"/>
    </w:pP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18E5" w14:textId="792EDF28" w:rsidR="006510D3" w:rsidRDefault="006510D3" w:rsidP="006510D3">
    <w:pPr>
      <w:pStyle w:val="Zpat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1CC7" w14:textId="77777777" w:rsidR="004A0DF2" w:rsidRDefault="004A0DF2" w:rsidP="000E7ADC">
      <w:pPr>
        <w:spacing w:after="0" w:line="240" w:lineRule="auto"/>
      </w:pPr>
      <w:r>
        <w:separator/>
      </w:r>
    </w:p>
  </w:footnote>
  <w:footnote w:type="continuationSeparator" w:id="0">
    <w:p w14:paraId="3B0CA87E" w14:textId="77777777" w:rsidR="004A0DF2" w:rsidRDefault="004A0DF2" w:rsidP="000E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1499" w14:textId="19C87F84" w:rsidR="000E7ADC" w:rsidRDefault="000E7A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097E9" wp14:editId="08D7A7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748388106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1021C" w14:textId="797AB766" w:rsidR="000E7ADC" w:rsidRPr="000E7ADC" w:rsidRDefault="000E7ADC" w:rsidP="000E7ADC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7ADC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097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7.65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" filled="f" stroked="f">
              <v:textbox style="mso-fit-shape-to-text:t" inset="0,25pt,30pt,0">
                <w:txbxContent>
                  <w:p w14:paraId="1AC1021C" w14:textId="797AB766" w:rsidR="000E7ADC" w:rsidRPr="000E7ADC" w:rsidRDefault="000E7ADC" w:rsidP="000E7ADC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0E7ADC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70C0" w14:textId="77777777" w:rsidR="004B36C3" w:rsidRDefault="004B36C3" w:rsidP="004B36C3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6D494B" wp14:editId="2AA1B064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59916270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B1953" w14:textId="77777777" w:rsidR="004B36C3" w:rsidRPr="000E7ADC" w:rsidRDefault="004B36C3" w:rsidP="004B36C3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494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left:0;text-align:left;margin-left:-16.25pt;margin-top:0;width:34.95pt;height:47.65pt;z-index:25166336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" filled="f" stroked="f">
              <v:textbox style="mso-fit-shape-to-text:t" inset="0,25pt,30pt,0">
                <w:txbxContent>
                  <w:p w14:paraId="786B1953" w14:textId="77777777" w:rsidR="004B36C3" w:rsidRPr="000E7ADC" w:rsidRDefault="004B36C3" w:rsidP="004B36C3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24"/>
        <w:szCs w:val="24"/>
      </w:rPr>
      <w:t>Příloha č. 2</w:t>
    </w:r>
  </w:p>
  <w:p w14:paraId="00ED477D" w14:textId="77777777" w:rsidR="004B36C3" w:rsidRDefault="004B36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D58" w14:textId="77777777" w:rsidR="004B36C3" w:rsidRDefault="004B36C3" w:rsidP="004B36C3">
    <w:pPr>
      <w:pStyle w:val="Zhlav"/>
      <w:jc w:val="right"/>
    </w:pPr>
    <w:bookmarkStart w:id="0" w:name="_Hlk192842386"/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B41270" wp14:editId="21340185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334725780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6588A" w14:textId="77777777" w:rsidR="004B36C3" w:rsidRPr="000E7ADC" w:rsidRDefault="004B36C3" w:rsidP="004B36C3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12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Interní / Internal" style="position:absolute;left:0;text-align:left;margin-left:-16.25pt;margin-top:0;width:34.95pt;height:47.65pt;z-index:251661312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" filled="f" stroked="f">
              <v:textbox style="mso-fit-shape-to-text:t" inset="0,25pt,30pt,0">
                <w:txbxContent>
                  <w:p w14:paraId="6A76588A" w14:textId="77777777" w:rsidR="004B36C3" w:rsidRPr="000E7ADC" w:rsidRDefault="004B36C3" w:rsidP="004B36C3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24"/>
        <w:szCs w:val="24"/>
      </w:rPr>
      <w:t>Příloha č. 2</w:t>
    </w:r>
  </w:p>
  <w:bookmarkEnd w:id="0"/>
  <w:p w14:paraId="73CE555C" w14:textId="6124BDD9" w:rsidR="000E7ADC" w:rsidRDefault="000E7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423"/>
    <w:multiLevelType w:val="multilevel"/>
    <w:tmpl w:val="624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5D5A"/>
    <w:multiLevelType w:val="multilevel"/>
    <w:tmpl w:val="1E78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6744E"/>
    <w:multiLevelType w:val="multilevel"/>
    <w:tmpl w:val="5C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24583"/>
    <w:multiLevelType w:val="multilevel"/>
    <w:tmpl w:val="0E0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857E1"/>
    <w:multiLevelType w:val="multilevel"/>
    <w:tmpl w:val="500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CF310B"/>
    <w:multiLevelType w:val="multilevel"/>
    <w:tmpl w:val="8502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5C89"/>
    <w:multiLevelType w:val="hybridMultilevel"/>
    <w:tmpl w:val="E3B8AA3E"/>
    <w:lvl w:ilvl="0" w:tplc="A6AA3426">
      <w:start w:val="202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A811B7"/>
    <w:multiLevelType w:val="multilevel"/>
    <w:tmpl w:val="A74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EB3C9C"/>
    <w:multiLevelType w:val="multilevel"/>
    <w:tmpl w:val="FD6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3F7A03"/>
    <w:multiLevelType w:val="multilevel"/>
    <w:tmpl w:val="48E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9628F8"/>
    <w:multiLevelType w:val="multilevel"/>
    <w:tmpl w:val="FD86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D52FB6"/>
    <w:multiLevelType w:val="multilevel"/>
    <w:tmpl w:val="26A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D477B9"/>
    <w:multiLevelType w:val="multilevel"/>
    <w:tmpl w:val="AE3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246302">
    <w:abstractNumId w:val="2"/>
  </w:num>
  <w:num w:numId="2" w16cid:durableId="1055201765">
    <w:abstractNumId w:val="4"/>
  </w:num>
  <w:num w:numId="3" w16cid:durableId="1247811785">
    <w:abstractNumId w:val="12"/>
  </w:num>
  <w:num w:numId="4" w16cid:durableId="1525828123">
    <w:abstractNumId w:val="9"/>
  </w:num>
  <w:num w:numId="5" w16cid:durableId="1476029331">
    <w:abstractNumId w:val="8"/>
  </w:num>
  <w:num w:numId="6" w16cid:durableId="1829008082">
    <w:abstractNumId w:val="1"/>
  </w:num>
  <w:num w:numId="7" w16cid:durableId="765925511">
    <w:abstractNumId w:val="0"/>
  </w:num>
  <w:num w:numId="8" w16cid:durableId="2042436392">
    <w:abstractNumId w:val="3"/>
  </w:num>
  <w:num w:numId="9" w16cid:durableId="1523086272">
    <w:abstractNumId w:val="10"/>
  </w:num>
  <w:num w:numId="10" w16cid:durableId="139809731">
    <w:abstractNumId w:val="7"/>
  </w:num>
  <w:num w:numId="11" w16cid:durableId="2022390930">
    <w:abstractNumId w:val="5"/>
  </w:num>
  <w:num w:numId="12" w16cid:durableId="1809740969">
    <w:abstractNumId w:val="11"/>
  </w:num>
  <w:num w:numId="13" w16cid:durableId="348920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25"/>
    <w:rsid w:val="00006F18"/>
    <w:rsid w:val="00022586"/>
    <w:rsid w:val="000310CC"/>
    <w:rsid w:val="000C1AE6"/>
    <w:rsid w:val="000E1E3D"/>
    <w:rsid w:val="000E7ADC"/>
    <w:rsid w:val="000F4171"/>
    <w:rsid w:val="00105ED7"/>
    <w:rsid w:val="001231BB"/>
    <w:rsid w:val="00151245"/>
    <w:rsid w:val="00160754"/>
    <w:rsid w:val="001A2887"/>
    <w:rsid w:val="001C53A1"/>
    <w:rsid w:val="001D596B"/>
    <w:rsid w:val="001E6B35"/>
    <w:rsid w:val="00215CCB"/>
    <w:rsid w:val="00257BAA"/>
    <w:rsid w:val="00297AB7"/>
    <w:rsid w:val="002B5A29"/>
    <w:rsid w:val="002B6CF7"/>
    <w:rsid w:val="002D67EA"/>
    <w:rsid w:val="003113F2"/>
    <w:rsid w:val="00337E5E"/>
    <w:rsid w:val="00341A0D"/>
    <w:rsid w:val="00353562"/>
    <w:rsid w:val="003567BF"/>
    <w:rsid w:val="00367244"/>
    <w:rsid w:val="00392E80"/>
    <w:rsid w:val="00392FF6"/>
    <w:rsid w:val="003A2B44"/>
    <w:rsid w:val="003D0786"/>
    <w:rsid w:val="003E2E3A"/>
    <w:rsid w:val="00425A31"/>
    <w:rsid w:val="00426197"/>
    <w:rsid w:val="00442FCB"/>
    <w:rsid w:val="004642FF"/>
    <w:rsid w:val="004750AD"/>
    <w:rsid w:val="00487AC1"/>
    <w:rsid w:val="00492ABC"/>
    <w:rsid w:val="004A0DF2"/>
    <w:rsid w:val="004B36C3"/>
    <w:rsid w:val="004C1ED6"/>
    <w:rsid w:val="004D35E4"/>
    <w:rsid w:val="004D3B67"/>
    <w:rsid w:val="004E7391"/>
    <w:rsid w:val="0050725B"/>
    <w:rsid w:val="00515593"/>
    <w:rsid w:val="00520136"/>
    <w:rsid w:val="005426A4"/>
    <w:rsid w:val="00550497"/>
    <w:rsid w:val="005516E0"/>
    <w:rsid w:val="00554B92"/>
    <w:rsid w:val="00575E46"/>
    <w:rsid w:val="00577B47"/>
    <w:rsid w:val="005A0375"/>
    <w:rsid w:val="005A2731"/>
    <w:rsid w:val="005B45AC"/>
    <w:rsid w:val="005B60FC"/>
    <w:rsid w:val="005C3680"/>
    <w:rsid w:val="005D5484"/>
    <w:rsid w:val="005F304B"/>
    <w:rsid w:val="006061C8"/>
    <w:rsid w:val="00622D9F"/>
    <w:rsid w:val="00643F77"/>
    <w:rsid w:val="006510D3"/>
    <w:rsid w:val="00675071"/>
    <w:rsid w:val="006A1237"/>
    <w:rsid w:val="006D0819"/>
    <w:rsid w:val="006E402C"/>
    <w:rsid w:val="006F5F75"/>
    <w:rsid w:val="00764CCF"/>
    <w:rsid w:val="007900AC"/>
    <w:rsid w:val="007D117A"/>
    <w:rsid w:val="007D3166"/>
    <w:rsid w:val="007F0871"/>
    <w:rsid w:val="0080776F"/>
    <w:rsid w:val="00811A5A"/>
    <w:rsid w:val="008131B1"/>
    <w:rsid w:val="00841DE1"/>
    <w:rsid w:val="00843AF4"/>
    <w:rsid w:val="008A08EB"/>
    <w:rsid w:val="008D09EE"/>
    <w:rsid w:val="00915136"/>
    <w:rsid w:val="0091529F"/>
    <w:rsid w:val="009A6B35"/>
    <w:rsid w:val="009A76B8"/>
    <w:rsid w:val="009F2D94"/>
    <w:rsid w:val="009F539F"/>
    <w:rsid w:val="009F6E66"/>
    <w:rsid w:val="00A14B4F"/>
    <w:rsid w:val="00A20F9B"/>
    <w:rsid w:val="00A301A3"/>
    <w:rsid w:val="00AA7F2D"/>
    <w:rsid w:val="00AB4FFC"/>
    <w:rsid w:val="00AC0F52"/>
    <w:rsid w:val="00AD5D28"/>
    <w:rsid w:val="00AF3AD5"/>
    <w:rsid w:val="00B12E7F"/>
    <w:rsid w:val="00B33648"/>
    <w:rsid w:val="00B33A3E"/>
    <w:rsid w:val="00B45D1F"/>
    <w:rsid w:val="00B51C12"/>
    <w:rsid w:val="00B6001D"/>
    <w:rsid w:val="00B7479D"/>
    <w:rsid w:val="00B920B7"/>
    <w:rsid w:val="00BA1425"/>
    <w:rsid w:val="00BA2CE3"/>
    <w:rsid w:val="00BA76F4"/>
    <w:rsid w:val="00BF24AC"/>
    <w:rsid w:val="00C276A9"/>
    <w:rsid w:val="00C634CB"/>
    <w:rsid w:val="00C6749B"/>
    <w:rsid w:val="00C862F2"/>
    <w:rsid w:val="00CC15B0"/>
    <w:rsid w:val="00CD344E"/>
    <w:rsid w:val="00CE440C"/>
    <w:rsid w:val="00D05FBE"/>
    <w:rsid w:val="00D243EA"/>
    <w:rsid w:val="00D276F8"/>
    <w:rsid w:val="00D34BF0"/>
    <w:rsid w:val="00D73BE8"/>
    <w:rsid w:val="00D86B43"/>
    <w:rsid w:val="00D96B50"/>
    <w:rsid w:val="00DA49EF"/>
    <w:rsid w:val="00DA7471"/>
    <w:rsid w:val="00DD5402"/>
    <w:rsid w:val="00E60697"/>
    <w:rsid w:val="00E96920"/>
    <w:rsid w:val="00EA08D3"/>
    <w:rsid w:val="00EB63D2"/>
    <w:rsid w:val="00F274B7"/>
    <w:rsid w:val="00F30C68"/>
    <w:rsid w:val="00F35D8E"/>
    <w:rsid w:val="00F516CD"/>
    <w:rsid w:val="00F63996"/>
    <w:rsid w:val="00F66B60"/>
    <w:rsid w:val="00FA4CC0"/>
    <w:rsid w:val="00FD77EE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7975"/>
  <w15:chartTrackingRefBased/>
  <w15:docId w15:val="{117F16C5-86A6-4A69-9728-473EBFE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6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C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Standardnpsmoodstavce"/>
    <w:rsid w:val="001C53A1"/>
  </w:style>
  <w:style w:type="character" w:customStyle="1" w:styleId="eop">
    <w:name w:val="eop"/>
    <w:basedOn w:val="Standardnpsmoodstavce"/>
    <w:rsid w:val="001C53A1"/>
  </w:style>
  <w:style w:type="paragraph" w:styleId="Revize">
    <w:name w:val="Revision"/>
    <w:hidden/>
    <w:uiPriority w:val="99"/>
    <w:semiHidden/>
    <w:rsid w:val="00392FF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E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ADC"/>
  </w:style>
  <w:style w:type="character" w:styleId="Odkaznakoment">
    <w:name w:val="annotation reference"/>
    <w:basedOn w:val="Standardnpsmoodstavce"/>
    <w:uiPriority w:val="99"/>
    <w:semiHidden/>
    <w:unhideWhenUsed/>
    <w:rsid w:val="00B74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7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3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5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Brezny Roman</dc:creator>
  <cp:keywords/>
  <dc:description/>
  <cp:lastModifiedBy>Zaujecova Petra</cp:lastModifiedBy>
  <cp:revision>5</cp:revision>
  <cp:lastPrinted>2025-03-14T09:58:00Z</cp:lastPrinted>
  <dcterms:created xsi:type="dcterms:W3CDTF">2025-03-03T14:15:00Z</dcterms:created>
  <dcterms:modified xsi:type="dcterms:W3CDTF">2025-03-14T09:59:00Z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6f8f3e2d,2c9b7f0a,4f8e4c94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579eb1be-3fbc-427d-94ec-2344ec0412cc_Enabled">
    <vt:lpwstr>true</vt:lpwstr>
  </property>
  <property fmtid="{D5CDD505-2E9C-101B-9397-08002B2CF9AE}" pid="6" name="MSIP_Label_579eb1be-3fbc-427d-94ec-2344ec0412cc_SetDate">
    <vt:lpwstr>2025-01-07T14:43:06Z</vt:lpwstr>
  </property>
  <property fmtid="{D5CDD505-2E9C-101B-9397-08002B2CF9AE}" pid="7" name="MSIP_Label_579eb1be-3fbc-427d-94ec-2344ec0412cc_Method">
    <vt:lpwstr>Privileged</vt:lpwstr>
  </property>
  <property fmtid="{D5CDD505-2E9C-101B-9397-08002B2CF9AE}" pid="8" name="MSIP_Label_579eb1be-3fbc-427d-94ec-2344ec0412cc_Name">
    <vt:lpwstr>L00098</vt:lpwstr>
  </property>
  <property fmtid="{D5CDD505-2E9C-101B-9397-08002B2CF9AE}" pid="9" name="MSIP_Label_579eb1be-3fbc-427d-94ec-2344ec0412cc_SiteId">
    <vt:lpwstr>b233f9e1-5599-4693-9cef-38858fe25406</vt:lpwstr>
  </property>
  <property fmtid="{D5CDD505-2E9C-101B-9397-08002B2CF9AE}" pid="10" name="MSIP_Label_579eb1be-3fbc-427d-94ec-2344ec0412cc_ActionId">
    <vt:lpwstr>f4372ee0-98d0-4981-a049-da2e67ef97af</vt:lpwstr>
  </property>
  <property fmtid="{D5CDD505-2E9C-101B-9397-08002B2CF9AE}" pid="11" name="MSIP_Label_579eb1be-3fbc-427d-94ec-2344ec0412cc_ContentBits">
    <vt:lpwstr>1</vt:lpwstr>
  </property>
</Properties>
</file>